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73BD75FE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985AC9">
              <w:t>JEFE/A SECCIÓN COMPRAS Y CONTRATACIÓN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60EE6084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985AC9" w:rsidRPr="00985AC9">
              <w:rPr>
                <w:iCs/>
              </w:rPr>
              <w:t>OPEE 679-2022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proofErr w:type="spellStart"/>
            <w:r w:rsidR="00C676F4">
              <w:rPr>
                <w:b/>
                <w:bCs/>
              </w:rPr>
              <w:t>amb</w:t>
            </w:r>
            <w:proofErr w:type="spellEnd"/>
            <w:r w:rsidR="00C676F4">
              <w:rPr>
                <w:b/>
                <w:bCs/>
              </w:rPr>
              <w:t xml:space="preserve">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 xml:space="preserve">La persona </w:t>
            </w:r>
            <w:proofErr w:type="spellStart"/>
            <w:r w:rsidRPr="008A031F">
              <w:rPr>
                <w:i/>
              </w:rPr>
              <w:t>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  <w:proofErr w:type="spellEnd"/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</w:t>
      </w:r>
      <w:proofErr w:type="spellStart"/>
      <w:r w:rsidR="00971341" w:rsidRPr="00C676F4">
        <w:rPr>
          <w:b/>
          <w:i/>
          <w:iCs/>
          <w:u w:val="single"/>
        </w:rPr>
        <w:t>Instruccions</w:t>
      </w:r>
      <w:proofErr w:type="spellEnd"/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 xml:space="preserve">formulario de </w:t>
      </w:r>
      <w:proofErr w:type="spellStart"/>
      <w:r w:rsidR="00C676F4">
        <w:rPr>
          <w:iCs/>
        </w:rPr>
        <w:t>autobaremación</w:t>
      </w:r>
      <w:proofErr w:type="spellEnd"/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 xml:space="preserve">La </w:t>
      </w:r>
      <w:proofErr w:type="spellStart"/>
      <w:r w:rsidR="00C676F4" w:rsidRPr="00C676F4">
        <w:rPr>
          <w:i/>
          <w:iCs/>
        </w:rPr>
        <w:t>sol·licitud</w:t>
      </w:r>
      <w:proofErr w:type="spellEnd"/>
      <w:r w:rsidR="00C676F4" w:rsidRPr="00C676F4">
        <w:rPr>
          <w:i/>
          <w:iCs/>
        </w:rPr>
        <w:t xml:space="preserve"> es </w:t>
      </w:r>
      <w:proofErr w:type="spellStart"/>
      <w:r w:rsidR="00C676F4" w:rsidRPr="00C676F4">
        <w:rPr>
          <w:i/>
          <w:iCs/>
        </w:rPr>
        <w:t>farà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necessàriament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mitjançant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d'autobaremació</w:t>
      </w:r>
      <w:proofErr w:type="spellEnd"/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 xml:space="preserve">El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 ha de </w:t>
      </w:r>
      <w:proofErr w:type="spellStart"/>
      <w:r w:rsidR="00C676F4" w:rsidRPr="00C676F4">
        <w:rPr>
          <w:i/>
          <w:iCs/>
        </w:rPr>
        <w:t>recollir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exhaustiva de </w:t>
      </w:r>
      <w:proofErr w:type="spellStart"/>
      <w:r w:rsidR="00C676F4" w:rsidRPr="00C676F4">
        <w:rPr>
          <w:i/>
          <w:iCs/>
        </w:rPr>
        <w:t>tots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valoració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quals</w:t>
      </w:r>
      <w:proofErr w:type="spellEnd"/>
      <w:r w:rsidR="00C676F4" w:rsidRPr="00C676F4">
        <w:rPr>
          <w:i/>
          <w:iCs/>
        </w:rPr>
        <w:t xml:space="preserve"> se </w:t>
      </w:r>
      <w:proofErr w:type="spellStart"/>
      <w:r w:rsidR="00C676F4" w:rsidRPr="00C676F4">
        <w:rPr>
          <w:i/>
          <w:iCs/>
        </w:rPr>
        <w:t>sol·licita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classificats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dacord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amb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lestructura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. A més, respecte de cada </w:t>
      </w:r>
      <w:proofErr w:type="spellStart"/>
      <w:r w:rsidR="00C676F4" w:rsidRPr="00C676F4">
        <w:rPr>
          <w:i/>
          <w:iCs/>
        </w:rPr>
        <w:t>mèrit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caldrà</w:t>
      </w:r>
      <w:proofErr w:type="spellEnd"/>
      <w:r w:rsidR="00C676F4" w:rsidRPr="00C676F4">
        <w:rPr>
          <w:i/>
          <w:iCs/>
        </w:rPr>
        <w:t xml:space="preserve"> especificar la </w:t>
      </w:r>
      <w:proofErr w:type="spellStart"/>
      <w:r w:rsidR="00C676F4" w:rsidRPr="00C676F4">
        <w:rPr>
          <w:i/>
          <w:iCs/>
        </w:rPr>
        <w:t>informació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ressenyada</w:t>
      </w:r>
      <w:proofErr w:type="spellEnd"/>
      <w:r w:rsidR="00C676F4" w:rsidRPr="00C676F4">
        <w:rPr>
          <w:i/>
          <w:iCs/>
        </w:rPr>
        <w:t xml:space="preserve">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documents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acreditatius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al·legats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s'han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d'annexar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seguint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l'ordre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paginació</w:t>
      </w:r>
      <w:proofErr w:type="spellEnd"/>
      <w:r w:rsidR="00C676F4" w:rsidRPr="00C676F4">
        <w:rPr>
          <w:i/>
          <w:iCs/>
        </w:rPr>
        <w:t xml:space="preserve"> de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>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 xml:space="preserve">Cada </w:t>
      </w:r>
      <w:proofErr w:type="spellStart"/>
      <w:r w:rsidRPr="00C676F4">
        <w:rPr>
          <w:i/>
          <w:iCs/>
        </w:rPr>
        <w:t>contribució</w:t>
      </w:r>
      <w:proofErr w:type="spellEnd"/>
      <w:r w:rsidRPr="00C676F4">
        <w:rPr>
          <w:i/>
          <w:iCs/>
        </w:rPr>
        <w:t xml:space="preserve"> </w:t>
      </w:r>
      <w:proofErr w:type="spellStart"/>
      <w:r w:rsidRPr="00C676F4">
        <w:rPr>
          <w:i/>
          <w:iCs/>
        </w:rPr>
        <w:t>només</w:t>
      </w:r>
      <w:proofErr w:type="spellEnd"/>
      <w:r w:rsidRPr="00C676F4">
        <w:rPr>
          <w:i/>
          <w:iCs/>
        </w:rPr>
        <w:t xml:space="preserve">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3265C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 xml:space="preserve">el Consorcio Centro de Investigación </w:t>
            </w:r>
            <w:proofErr w:type="spellStart"/>
            <w:r w:rsidRPr="003265CF">
              <w:rPr>
                <w:b/>
                <w:bCs/>
                <w:i/>
                <w:iCs/>
                <w:lang w:val="ca-ES"/>
              </w:rPr>
              <w:t>Biomédica</w:t>
            </w:r>
            <w:proofErr w:type="spellEnd"/>
            <w:r w:rsidRPr="003265CF">
              <w:rPr>
                <w:b/>
                <w:bCs/>
                <w:i/>
                <w:iCs/>
                <w:lang w:val="ca-ES"/>
              </w:rPr>
              <w:t xml:space="preserve">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2258DC7" w:rsidR="00A3639B" w:rsidRPr="00303C6A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Pr="00303C6A">
              <w:rPr>
                <w:b/>
                <w:bCs/>
              </w:rPr>
              <w:t>)</w:t>
            </w:r>
            <w:r>
              <w:t xml:space="preserve"> </w:t>
            </w:r>
            <w:r w:rsidRPr="00587984">
              <w:rPr>
                <w:b/>
                <w:bCs/>
              </w:rPr>
              <w:t>Titulación universitaria oficial</w:t>
            </w:r>
            <w:r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AC68E46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f) </w:t>
            </w:r>
            <w:r w:rsidRPr="00A85CD6">
              <w:rPr>
                <w:b/>
                <w:bCs/>
              </w:rPr>
              <w:t>Doctorado o Máster oficial</w:t>
            </w:r>
            <w:r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7DA0CAEB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 xml:space="preserve">g) </w:t>
            </w:r>
            <w:r w:rsidRPr="00A85CD6">
              <w:rPr>
                <w:b/>
                <w:bCs/>
              </w:rPr>
              <w:t>Ciclo Formativo de Grado Superior o Grado Medio</w:t>
            </w:r>
            <w:r>
              <w:t>, relacionad</w:t>
            </w:r>
            <w:r w:rsidR="005E5660">
              <w:t>o</w:t>
            </w:r>
            <w:r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F434D91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h) </w:t>
            </w:r>
            <w:r w:rsidRPr="00A85CD6">
              <w:rPr>
                <w:b/>
                <w:bCs/>
              </w:rPr>
              <w:t>Títulos propios y/o Máster</w:t>
            </w:r>
            <w:r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2BD54F0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i) </w:t>
            </w:r>
            <w:r w:rsidRPr="00A85CD6">
              <w:rPr>
                <w:b/>
                <w:bCs/>
              </w:rPr>
              <w:t>Cursos de formación</w:t>
            </w:r>
            <w:r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D9A8ECD" w:rsidR="00A3639B" w:rsidRDefault="00A3639B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j) </w:t>
            </w:r>
            <w:r w:rsidRPr="00A85CD6">
              <w:rPr>
                <w:b/>
                <w:bCs/>
              </w:rPr>
              <w:t>Dirección de Tesis Doctorales</w:t>
            </w:r>
            <w:r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0324DF0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k) </w:t>
            </w:r>
            <w:r w:rsidRPr="00A85CD6">
              <w:rPr>
                <w:b/>
                <w:bCs/>
              </w:rPr>
              <w:t>Dirección de Trabajos Fines de Máster</w:t>
            </w:r>
            <w:r>
              <w:t xml:space="preserve"> o dirección de </w:t>
            </w:r>
            <w:r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Pr="00A85CD6">
              <w:rPr>
                <w:b/>
                <w:bCs/>
              </w:rPr>
              <w:t xml:space="preserve">in de </w:t>
            </w:r>
            <w:r>
              <w:rPr>
                <w:b/>
                <w:bCs/>
              </w:rPr>
              <w:t>G</w:t>
            </w:r>
            <w:r w:rsidRPr="00A85CD6">
              <w:rPr>
                <w:b/>
                <w:bCs/>
              </w:rPr>
              <w:t>rado</w:t>
            </w:r>
            <w:r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l) </w:t>
            </w:r>
            <w:r w:rsidRPr="00A85CD6">
              <w:rPr>
                <w:b/>
                <w:bCs/>
              </w:rPr>
              <w:t>Docencia</w:t>
            </w:r>
            <w:r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m) </w:t>
            </w:r>
            <w:r w:rsidRPr="00A85CD6">
              <w:rPr>
                <w:b/>
                <w:bCs/>
              </w:rPr>
              <w:t>Tutorización de prácticas</w:t>
            </w:r>
            <w:r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Tutorització</w:t>
            </w:r>
            <w:proofErr w:type="spellEnd"/>
            <w:r w:rsidRPr="00ED14FF">
              <w:rPr>
                <w:b/>
                <w:bCs/>
                <w:i/>
                <w:iCs/>
                <w:lang w:val="ca-ES"/>
              </w:rPr>
              <w:t xml:space="preserve">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</w:t>
            </w:r>
            <w:proofErr w:type="spellStart"/>
            <w:r w:rsidRPr="00ED14FF">
              <w:rPr>
                <w:i/>
                <w:iCs/>
                <w:lang w:val="ca-ES"/>
              </w:rPr>
              <w:t>tutoritzada</w:t>
            </w:r>
            <w:proofErr w:type="spellEnd"/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D3F10A5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n) </w:t>
            </w:r>
            <w:r>
              <w:t xml:space="preserve">Posesión de </w:t>
            </w:r>
            <w:r w:rsidRPr="00A85CD6">
              <w:rPr>
                <w:b/>
                <w:bCs/>
              </w:rPr>
              <w:t>certificado</w:t>
            </w:r>
            <w:r>
              <w:t xml:space="preserve"> </w:t>
            </w:r>
            <w:r w:rsidRPr="00A85CD6">
              <w:rPr>
                <w:b/>
                <w:bCs/>
              </w:rPr>
              <w:t>R3 o equivalente</w:t>
            </w:r>
            <w:r>
              <w:t xml:space="preserve"> de acuerdo con los artículos 22 y 22 bis de la </w:t>
            </w:r>
            <w:r w:rsidR="00110BC0">
              <w:t>L</w:t>
            </w:r>
            <w:r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o)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valenciano</w:t>
            </w:r>
            <w:r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p)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inglés</w:t>
            </w:r>
            <w:r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idioma </w:t>
            </w: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anglés</w:t>
            </w:r>
            <w:proofErr w:type="spellEnd"/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3E24BAEE" w:rsidR="006B58F9" w:rsidRDefault="00BF1891" w:rsidP="00BF1891">
            <w:pPr>
              <w:spacing w:before="100" w:after="100" w:line="276" w:lineRule="auto"/>
            </w:pPr>
            <w:r w:rsidRPr="00BF1891">
              <w:rPr>
                <w:b/>
                <w:bCs/>
              </w:rPr>
              <w:t>q)</w:t>
            </w:r>
            <w:r>
              <w:t xml:space="preserve"> Documentación a aportar</w:t>
            </w:r>
          </w:p>
          <w:p w14:paraId="63700C55" w14:textId="77777777" w:rsidR="008B080D" w:rsidRDefault="002625FE" w:rsidP="00BF1891">
            <w:pPr>
              <w:spacing w:before="100" w:after="100" w:line="276" w:lineRule="auto"/>
            </w:pPr>
            <w:r>
              <w:t>Fundanet. Acreditación en el manejo de los módulos: módulos de gestión de compras y módulo de gestión de expedientes de contratación.</w:t>
            </w:r>
          </w:p>
          <w:p w14:paraId="5E8F20BC" w14:textId="02396FBD" w:rsidR="002625FE" w:rsidRDefault="002625FE" w:rsidP="00BF1891">
            <w:pPr>
              <w:spacing w:before="100" w:after="100" w:line="276" w:lineRule="auto"/>
            </w:pPr>
            <w:r>
              <w:t xml:space="preserve"> Se deben poseer los 2 módulos. Solo se contabilizarán la posesión de estar en posesión de la acreditación de los 2 módulos citados (uno solo no se contabilizará). Valoración de los niveles por tiempo certificado (Nivel básico (menos de 1 año= </w:t>
            </w:r>
            <w:r w:rsidRPr="002625FE">
              <w:rPr>
                <w:b/>
              </w:rPr>
              <w:t>5 puntos</w:t>
            </w:r>
            <w:r>
              <w:t xml:space="preserve">), Nivel usuario (desde 1 año y menos de 2 años= </w:t>
            </w:r>
            <w:r w:rsidRPr="002625FE">
              <w:rPr>
                <w:b/>
              </w:rPr>
              <w:t>10 puntos</w:t>
            </w:r>
            <w:r>
              <w:t xml:space="preserve">), Nivel avanzado (desde 2 años hasta 3 años= </w:t>
            </w:r>
            <w:r w:rsidRPr="002625FE">
              <w:rPr>
                <w:b/>
              </w:rPr>
              <w:t>15 puntos</w:t>
            </w:r>
            <w:r>
              <w:t xml:space="preserve">). Solo se puntuará un nivel acreditado. Hasta un máximo de </w:t>
            </w:r>
            <w:r w:rsidRPr="002625FE">
              <w:rPr>
                <w:b/>
              </w:rPr>
              <w:t>15 puntos</w:t>
            </w:r>
            <w:r>
              <w:t>.</w:t>
            </w:r>
          </w:p>
          <w:p w14:paraId="53A9E74B" w14:textId="77777777" w:rsidR="00352E13" w:rsidRDefault="00352E13" w:rsidP="00BF1891">
            <w:pPr>
              <w:spacing w:before="100" w:after="100" w:line="276" w:lineRule="auto"/>
            </w:pPr>
          </w:p>
          <w:p w14:paraId="168FB12E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70806951" w14:textId="77777777" w:rsidR="008B080D" w:rsidRDefault="002625FE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2625FE">
              <w:rPr>
                <w:i/>
                <w:iCs/>
                <w:lang w:val="ca-ES"/>
              </w:rPr>
              <w:t xml:space="preserve">Fundanet. Acreditació en el maneig dels mòduls: mòduls de gestió de compres i mòdul de gestió d'expedients de contractació. </w:t>
            </w:r>
          </w:p>
          <w:p w14:paraId="72F61F94" w14:textId="36045540" w:rsidR="002625FE" w:rsidRPr="00C81788" w:rsidRDefault="002625FE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2625FE">
              <w:rPr>
                <w:i/>
                <w:iCs/>
                <w:lang w:val="ca-ES"/>
              </w:rPr>
              <w:t>S'han de posseir els 2 mòduls. Només es comptabilitzaran la possessió d'estar en possessió de l'acreditació dels 2 mòduls citats (un només no es comptabilitzarà).</w:t>
            </w:r>
            <w:r w:rsidR="008B080D">
              <w:rPr>
                <w:i/>
                <w:iCs/>
                <w:lang w:val="ca-ES"/>
              </w:rPr>
              <w:t xml:space="preserve"> </w:t>
            </w:r>
            <w:r w:rsidRPr="002625FE">
              <w:rPr>
                <w:i/>
                <w:iCs/>
                <w:lang w:val="ca-ES"/>
              </w:rPr>
              <w:t xml:space="preserve">Valoració dels nivells per temps certificat (Nivell bàsic (menys d'1 any= </w:t>
            </w:r>
            <w:r w:rsidRPr="002625FE">
              <w:rPr>
                <w:b/>
                <w:i/>
                <w:iCs/>
                <w:lang w:val="ca-ES"/>
              </w:rPr>
              <w:t>5 punts</w:t>
            </w:r>
            <w:r w:rsidRPr="002625FE">
              <w:rPr>
                <w:i/>
                <w:iCs/>
                <w:lang w:val="ca-ES"/>
              </w:rPr>
              <w:t xml:space="preserve">), Nivell usuari (des d'1 any i menys de 2 anys= </w:t>
            </w:r>
            <w:r w:rsidRPr="002625FE">
              <w:rPr>
                <w:b/>
                <w:i/>
                <w:iCs/>
                <w:lang w:val="ca-ES"/>
              </w:rPr>
              <w:t>10 punts</w:t>
            </w:r>
            <w:r w:rsidRPr="002625FE">
              <w:rPr>
                <w:i/>
                <w:iCs/>
                <w:lang w:val="ca-ES"/>
              </w:rPr>
              <w:t xml:space="preserve">), Nivell avançat (des de 2 anys fins a 3 anys= </w:t>
            </w:r>
            <w:r w:rsidRPr="002625FE">
              <w:rPr>
                <w:b/>
                <w:i/>
                <w:iCs/>
                <w:lang w:val="ca-ES"/>
              </w:rPr>
              <w:t>15 punts</w:t>
            </w:r>
            <w:r w:rsidRPr="002625FE">
              <w:rPr>
                <w:i/>
                <w:iCs/>
                <w:lang w:val="ca-ES"/>
              </w:rPr>
              <w:t xml:space="preserve">). </w:t>
            </w:r>
            <w:r w:rsidRPr="002625FE">
              <w:rPr>
                <w:i/>
                <w:iCs/>
                <w:lang w:val="ca-ES"/>
              </w:rPr>
              <w:lastRenderedPageBreak/>
              <w:t xml:space="preserve">Només es puntuarà un nivell acreditat. Fins a un màxim de </w:t>
            </w:r>
            <w:r w:rsidRPr="002625FE">
              <w:rPr>
                <w:b/>
                <w:i/>
                <w:iCs/>
                <w:lang w:val="ca-ES"/>
              </w:rPr>
              <w:t>15 punts.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E6560" w14:textId="77777777" w:rsidR="00A10E81" w:rsidRDefault="00A10E81" w:rsidP="00304C52">
      <w:pPr>
        <w:spacing w:after="0" w:line="240" w:lineRule="auto"/>
      </w:pPr>
      <w:r>
        <w:separator/>
      </w:r>
    </w:p>
  </w:endnote>
  <w:endnote w:type="continuationSeparator" w:id="0">
    <w:p w14:paraId="323E5601" w14:textId="77777777" w:rsidR="00A10E81" w:rsidRDefault="00A10E81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080D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080D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 xml:space="preserve">Avenida de Menéndez y Pelayo, </w:t>
          </w:r>
          <w:proofErr w:type="spellStart"/>
          <w:r w:rsidRPr="00DE71AF">
            <w:rPr>
              <w:sz w:val="18"/>
              <w:szCs w:val="18"/>
            </w:rPr>
            <w:t>nº</w:t>
          </w:r>
          <w:proofErr w:type="spellEnd"/>
          <w:r w:rsidRPr="00DE71AF">
            <w:rPr>
              <w:sz w:val="18"/>
              <w:szCs w:val="18"/>
            </w:rPr>
            <w:t xml:space="preserve">  4 </w:t>
          </w:r>
          <w:proofErr w:type="spellStart"/>
          <w:r w:rsidRPr="00DE71AF">
            <w:rPr>
              <w:sz w:val="18"/>
              <w:szCs w:val="18"/>
            </w:rPr>
            <w:t>acc</w:t>
          </w:r>
          <w:proofErr w:type="spellEnd"/>
          <w:r w:rsidRPr="00DE71AF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8B080D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8B080D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 xml:space="preserve">Avenida de Menéndez y Pelayo, </w:t>
          </w:r>
          <w:proofErr w:type="spellStart"/>
          <w:r w:rsidRPr="00E439B4">
            <w:rPr>
              <w:sz w:val="18"/>
              <w:szCs w:val="18"/>
            </w:rPr>
            <w:t>nº</w:t>
          </w:r>
          <w:proofErr w:type="spellEnd"/>
          <w:r w:rsidRPr="00E439B4">
            <w:rPr>
              <w:sz w:val="18"/>
              <w:szCs w:val="18"/>
            </w:rPr>
            <w:t xml:space="preserve">  4 </w:t>
          </w:r>
          <w:proofErr w:type="spellStart"/>
          <w:r w:rsidRPr="00E439B4">
            <w:rPr>
              <w:sz w:val="18"/>
              <w:szCs w:val="18"/>
            </w:rPr>
            <w:t>acc</w:t>
          </w:r>
          <w:proofErr w:type="spellEnd"/>
          <w:r w:rsidRPr="00E439B4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9A0E2" w14:textId="77777777" w:rsidR="00A10E81" w:rsidRDefault="00A10E81" w:rsidP="00304C52">
      <w:pPr>
        <w:spacing w:after="0" w:line="240" w:lineRule="auto"/>
      </w:pPr>
      <w:r>
        <w:separator/>
      </w:r>
    </w:p>
  </w:footnote>
  <w:footnote w:type="continuationSeparator" w:id="0">
    <w:p w14:paraId="29156CA0" w14:textId="77777777" w:rsidR="00A10E81" w:rsidRDefault="00A10E81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30239">
    <w:abstractNumId w:val="0"/>
  </w:num>
  <w:num w:numId="2" w16cid:durableId="54865478">
    <w:abstractNumId w:val="4"/>
  </w:num>
  <w:num w:numId="3" w16cid:durableId="1394234095">
    <w:abstractNumId w:val="3"/>
  </w:num>
  <w:num w:numId="4" w16cid:durableId="1665234695">
    <w:abstractNumId w:val="2"/>
  </w:num>
  <w:num w:numId="5" w16cid:durableId="1298876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625FE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3E0213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080D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85AC9"/>
    <w:rsid w:val="00993B35"/>
    <w:rsid w:val="009A2524"/>
    <w:rsid w:val="009C2540"/>
    <w:rsid w:val="009C3E49"/>
    <w:rsid w:val="009F1775"/>
    <w:rsid w:val="009F64EB"/>
    <w:rsid w:val="00A01D9E"/>
    <w:rsid w:val="00A05A02"/>
    <w:rsid w:val="00A10E81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81E48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2F5E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166AE-03B5-41EA-9413-F210A8B7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2037</Words>
  <Characters>11209</Characters>
  <Application>Microsoft Office Word</Application>
  <DocSecurity>0</DocSecurity>
  <Lines>93</Lines>
  <Paragraphs>26</Paragraphs>
  <ScaleCrop>false</ScaleCrop>
  <Company/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2024-11-19T12:24:00Z</dcterms:created>
  <dcterms:modified xsi:type="dcterms:W3CDTF">2024-11-19T12:24:00Z</dcterms:modified>
</cp:coreProperties>
</file>